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AC1617" w:rsidRDefault="008227F2" w:rsidP="0000184A">
      <w:pPr>
        <w:rPr>
          <w:rFonts w:ascii="Bradley Hand ITC" w:hAnsi="Bradley Hand ITC"/>
          <w:sz w:val="14"/>
          <w:szCs w:val="14"/>
        </w:rPr>
      </w:pPr>
      <w:r>
        <w:rPr>
          <w:rFonts w:ascii="Bradley Hand ITC" w:hAnsi="Bradley Hand ITC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6D2985" w:rsidRPr="006A0881" w:rsidRDefault="006D2985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8227F2">
        <w:rPr>
          <w:noProof/>
          <w:sz w:val="26"/>
          <w:szCs w:val="26"/>
        </w:rPr>
        <w:pict>
          <v:line id="Straight Connector 11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00184A" w:rsidRPr="00AC1617">
        <w:rPr>
          <w:sz w:val="30"/>
          <w:szCs w:val="30"/>
        </w:rPr>
        <w:t>Making Inferences Planner</w:t>
      </w:r>
      <w:r w:rsidR="0000184A" w:rsidRPr="0000184A">
        <w:rPr>
          <w:sz w:val="28"/>
          <w:szCs w:val="28"/>
        </w:rPr>
        <w:t xml:space="preserve"> </w:t>
      </w:r>
      <w:r w:rsidR="00AC1617">
        <w:rPr>
          <w:sz w:val="28"/>
          <w:szCs w:val="28"/>
        </w:rPr>
        <w:t xml:space="preserve">              </w:t>
      </w:r>
      <w:r w:rsidR="0000184A" w:rsidRPr="0000184A">
        <w:rPr>
          <w:sz w:val="28"/>
          <w:szCs w:val="28"/>
        </w:rPr>
        <w:t xml:space="preserve">     </w:t>
      </w:r>
      <w:r w:rsidR="00AC1617">
        <w:rPr>
          <w:sz w:val="28"/>
          <w:szCs w:val="28"/>
        </w:rPr>
        <w:t xml:space="preserve"> </w:t>
      </w:r>
      <w:r w:rsidR="0000184A" w:rsidRPr="00AC1617">
        <w:rPr>
          <w:sz w:val="26"/>
          <w:szCs w:val="26"/>
        </w:rPr>
        <w:t>Title:</w:t>
      </w:r>
      <w:r w:rsidR="0000184A" w:rsidRPr="00AC1617">
        <w:rPr>
          <w:sz w:val="30"/>
          <w:szCs w:val="30"/>
        </w:rPr>
        <w:t xml:space="preserve"> </w:t>
      </w:r>
      <w:r w:rsidR="00E800B4">
        <w:rPr>
          <w:sz w:val="30"/>
          <w:szCs w:val="30"/>
        </w:rPr>
        <w:t>“</w:t>
      </w:r>
      <w:r w:rsidR="00B72D5D">
        <w:rPr>
          <w:sz w:val="30"/>
          <w:szCs w:val="30"/>
        </w:rPr>
        <w:t>I Have a Dream</w:t>
      </w:r>
      <w:r w:rsidR="00E800B4">
        <w:rPr>
          <w:sz w:val="30"/>
          <w:szCs w:val="30"/>
        </w:rPr>
        <w:t>”</w:t>
      </w:r>
      <w:r w:rsidR="00B72D5D">
        <w:rPr>
          <w:sz w:val="30"/>
          <w:szCs w:val="30"/>
        </w:rPr>
        <w:t xml:space="preserve"> Speech</w:t>
      </w:r>
    </w:p>
    <w:p w:rsidR="0000184A" w:rsidRPr="00AC1617" w:rsidRDefault="0000184A" w:rsidP="0000184A">
      <w:pPr>
        <w:rPr>
          <w:sz w:val="14"/>
          <w:szCs w:val="14"/>
        </w:rPr>
      </w:pPr>
      <w:r w:rsidRPr="00AC1617">
        <w:rPr>
          <w:rFonts w:ascii="Bradley Hand ITC" w:hAnsi="Bradley Hand ITC"/>
          <w:sz w:val="14"/>
          <w:szCs w:val="14"/>
        </w:rPr>
        <w:t xml:space="preserve">                                                                           </w:t>
      </w:r>
    </w:p>
    <w:p w:rsidR="0090695E" w:rsidRPr="00AC1617" w:rsidRDefault="008227F2" w:rsidP="0000184A">
      <w:pPr>
        <w:rPr>
          <w:rFonts w:ascii="Bradley Hand ITC" w:hAnsi="Bradley Hand ITC"/>
          <w:sz w:val="26"/>
          <w:szCs w:val="26"/>
        </w:rPr>
      </w:pPr>
      <w:r w:rsidRPr="008227F2">
        <w:rPr>
          <w:noProof/>
          <w:sz w:val="26"/>
          <w:szCs w:val="26"/>
        </w:rPr>
        <w:pict>
          <v:line id="Straight Connector 1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00184A" w:rsidRPr="00AC1617">
        <w:rPr>
          <w:sz w:val="26"/>
          <w:szCs w:val="26"/>
        </w:rPr>
        <w:t>CPQ:</w:t>
      </w:r>
      <w:r w:rsidR="00E800B4">
        <w:rPr>
          <w:sz w:val="26"/>
          <w:szCs w:val="26"/>
        </w:rPr>
        <w:t xml:space="preserve"> Which similes or metaphors, </w:t>
      </w:r>
      <w:r w:rsidR="00E1407F">
        <w:rPr>
          <w:sz w:val="26"/>
          <w:szCs w:val="26"/>
        </w:rPr>
        <w:t>from King’s speech,</w:t>
      </w:r>
      <w:r w:rsidR="00B72D5D">
        <w:rPr>
          <w:sz w:val="26"/>
          <w:szCs w:val="26"/>
        </w:rPr>
        <w:t xml:space="preserve"> convey the idea that African </w:t>
      </w:r>
      <w:r w:rsidR="00B72D5D" w:rsidRPr="00E1407F">
        <w:rPr>
          <w:sz w:val="26"/>
          <w:szCs w:val="26"/>
          <w:u w:val="single"/>
        </w:rPr>
        <w:t>Americans were treated</w:t>
      </w:r>
      <w:r w:rsidR="00B72D5D">
        <w:rPr>
          <w:sz w:val="26"/>
          <w:szCs w:val="26"/>
        </w:rPr>
        <w:t xml:space="preserve"> </w:t>
      </w:r>
      <w:proofErr w:type="gramStart"/>
      <w:r w:rsidR="00E1407F">
        <w:rPr>
          <w:sz w:val="26"/>
          <w:szCs w:val="26"/>
          <w:u w:val="single"/>
        </w:rPr>
        <w:t xml:space="preserve">unfairly </w:t>
      </w:r>
      <w:r w:rsidR="00806428" w:rsidRPr="00B72D5D">
        <w:rPr>
          <w:sz w:val="26"/>
          <w:szCs w:val="26"/>
          <w:u w:val="single"/>
        </w:rPr>
        <w:t>?</w:t>
      </w:r>
      <w:proofErr w:type="gramEnd"/>
    </w:p>
    <w:p w:rsidR="0000184A" w:rsidRPr="0090695E" w:rsidRDefault="008227F2" w:rsidP="0000184A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group id="Group 2" o:spid="_x0000_s1029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28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6D2985" w:rsidRDefault="006D2985" w:rsidP="0000184A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2776"/>
        <w:gridCol w:w="1535"/>
        <w:gridCol w:w="2763"/>
        <w:gridCol w:w="2760"/>
      </w:tblGrid>
      <w:tr w:rsidR="00045CCA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90695E" w:rsidRDefault="0090695E" w:rsidP="001B335B">
            <w:pPr>
              <w:jc w:val="center"/>
              <w:rPr>
                <w:sz w:val="20"/>
                <w:szCs w:val="20"/>
              </w:rPr>
            </w:pPr>
            <w:r w:rsidRPr="0090695E">
              <w:rPr>
                <w:sz w:val="18"/>
                <w:szCs w:val="18"/>
              </w:rPr>
              <w:t>P</w:t>
            </w:r>
            <w:r w:rsidR="00806428">
              <w:rPr>
                <w:sz w:val="18"/>
                <w:szCs w:val="18"/>
              </w:rPr>
              <w:t xml:space="preserve">aragraph </w:t>
            </w:r>
            <w:r w:rsidRPr="0090695E">
              <w:rPr>
                <w:sz w:val="18"/>
                <w:szCs w:val="18"/>
              </w:rPr>
              <w:t>#</w:t>
            </w:r>
          </w:p>
        </w:tc>
        <w:tc>
          <w:tcPr>
            <w:tcW w:w="2969" w:type="dxa"/>
            <w:vAlign w:val="center"/>
          </w:tcPr>
          <w:p w:rsidR="0000184A" w:rsidRDefault="0000184A" w:rsidP="001B335B">
            <w:pPr>
              <w:jc w:val="center"/>
            </w:pPr>
            <w:r>
              <w:t>Statement</w:t>
            </w:r>
          </w:p>
        </w:tc>
        <w:tc>
          <w:tcPr>
            <w:tcW w:w="1582" w:type="dxa"/>
            <w:vAlign w:val="center"/>
          </w:tcPr>
          <w:p w:rsidR="0000184A" w:rsidRDefault="0000184A" w:rsidP="001B335B">
            <w:pPr>
              <w:jc w:val="center"/>
            </w:pPr>
          </w:p>
        </w:tc>
        <w:tc>
          <w:tcPr>
            <w:tcW w:w="2934" w:type="dxa"/>
            <w:vAlign w:val="center"/>
          </w:tcPr>
          <w:p w:rsidR="0000184A" w:rsidRDefault="0000184A" w:rsidP="001B335B">
            <w:pPr>
              <w:jc w:val="center"/>
            </w:pPr>
            <w:r>
              <w:t>Text Clues</w:t>
            </w:r>
          </w:p>
        </w:tc>
        <w:tc>
          <w:tcPr>
            <w:tcW w:w="2938" w:type="dxa"/>
            <w:vAlign w:val="center"/>
          </w:tcPr>
          <w:p w:rsidR="0000184A" w:rsidRDefault="0000184A" w:rsidP="001B335B">
            <w:pPr>
              <w:jc w:val="center"/>
            </w:pPr>
            <w:r>
              <w:t>Background Knowledge</w:t>
            </w:r>
          </w:p>
        </w:tc>
      </w:tr>
      <w:tr w:rsidR="00045CCA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6D2985">
            <w:pPr>
              <w:jc w:val="center"/>
            </w:pPr>
          </w:p>
          <w:p w:rsidR="0000184A" w:rsidRDefault="00806428" w:rsidP="006D29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</w:t>
            </w:r>
          </w:p>
          <w:p w:rsidR="00045CCA" w:rsidRDefault="00045CCA" w:rsidP="006D2985">
            <w:pPr>
              <w:jc w:val="center"/>
              <w:rPr>
                <w:rFonts w:ascii="Bradley Hand ITC" w:hAnsi="Bradley Hand ITC"/>
              </w:rPr>
            </w:pPr>
          </w:p>
          <w:p w:rsidR="00045CCA" w:rsidRPr="0000184A" w:rsidRDefault="00B72D5D" w:rsidP="006D29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I D</w:t>
            </w:r>
            <w:r w:rsidR="00045CCA">
              <w:rPr>
                <w:rFonts w:ascii="Bradley Hand ITC" w:hAnsi="Bradley Hand ITC"/>
              </w:rPr>
              <w:t>o</w:t>
            </w:r>
          </w:p>
        </w:tc>
        <w:tc>
          <w:tcPr>
            <w:tcW w:w="2969" w:type="dxa"/>
          </w:tcPr>
          <w:p w:rsidR="0000184A" w:rsidRPr="0000184A" w:rsidRDefault="0000184A" w:rsidP="006D2985">
            <w:pPr>
              <w:rPr>
                <w:rFonts w:ascii="Bradley Hand ITC" w:hAnsi="Bradley Hand ITC"/>
              </w:rPr>
            </w:pPr>
          </w:p>
          <w:p w:rsidR="0000184A" w:rsidRPr="0000184A" w:rsidRDefault="0000184A" w:rsidP="006D2985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 xml:space="preserve">    </w:t>
            </w:r>
            <w:r w:rsidR="0098715B">
              <w:rPr>
                <w:sz w:val="20"/>
                <w:szCs w:val="20"/>
              </w:rPr>
              <w:t xml:space="preserve"> </w:t>
            </w:r>
            <w:r w:rsidRPr="0000184A">
              <w:rPr>
                <w:sz w:val="20"/>
                <w:szCs w:val="20"/>
              </w:rPr>
              <w:t>(</w:t>
            </w:r>
            <w:r w:rsidR="0098715B">
              <w:rPr>
                <w:sz w:val="20"/>
                <w:szCs w:val="20"/>
              </w:rPr>
              <w:t>direct</w:t>
            </w:r>
            <w:r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B72D5D" w:rsidRDefault="00B72D5D" w:rsidP="00B72D5D">
            <w:pPr>
              <w:rPr>
                <w:rFonts w:ascii="Times New Roman" w:hAnsi="Times New Roman"/>
              </w:rPr>
            </w:pPr>
          </w:p>
          <w:p w:rsidR="0000184A" w:rsidRPr="004B0963" w:rsidRDefault="00B72D5D" w:rsidP="00B72D5D">
            <w:pPr>
              <w:rPr>
                <w:i/>
              </w:rPr>
            </w:pPr>
            <w:r w:rsidRPr="004B0963">
              <w:rPr>
                <w:rFonts w:ascii="Times New Roman" w:hAnsi="Times New Roman"/>
                <w:i/>
                <w:sz w:val="22"/>
                <w:szCs w:val="22"/>
              </w:rPr>
              <w:t>This momentous decree came as a great beacon light of hope to millions of Negro slaves who had been seared in the flames of withering injustice.</w:t>
            </w:r>
          </w:p>
          <w:p w:rsidR="0000184A" w:rsidRPr="0000184A" w:rsidRDefault="0000184A" w:rsidP="006D2985">
            <w:pPr>
              <w:ind w:left="360"/>
            </w:pPr>
          </w:p>
          <w:p w:rsidR="0000184A" w:rsidRPr="0000184A" w:rsidRDefault="0000184A" w:rsidP="006D2985">
            <w:pPr>
              <w:ind w:left="360"/>
            </w:pPr>
          </w:p>
        </w:tc>
        <w:tc>
          <w:tcPr>
            <w:tcW w:w="2938" w:type="dxa"/>
          </w:tcPr>
          <w:p w:rsidR="0000184A" w:rsidRPr="0000184A" w:rsidRDefault="0000184A" w:rsidP="006D2985">
            <w:pPr>
              <w:ind w:left="360"/>
            </w:pPr>
          </w:p>
        </w:tc>
      </w:tr>
      <w:tr w:rsidR="00045CCA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6D2985"/>
          <w:p w:rsidR="0000184A" w:rsidRDefault="00045CCA" w:rsidP="00045CC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>2</w:t>
            </w:r>
          </w:p>
          <w:p w:rsidR="00045CCA" w:rsidRPr="0000184A" w:rsidRDefault="00B72D5D" w:rsidP="00045CC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I Do</w:t>
            </w:r>
          </w:p>
        </w:tc>
        <w:tc>
          <w:tcPr>
            <w:tcW w:w="2969" w:type="dxa"/>
          </w:tcPr>
          <w:p w:rsidR="0000184A" w:rsidRPr="0000184A" w:rsidRDefault="0000184A" w:rsidP="006D2985"/>
          <w:p w:rsidR="0000184A" w:rsidRPr="0000184A" w:rsidRDefault="0000184A" w:rsidP="006D2985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4B0963" w:rsidRDefault="00B72D5D" w:rsidP="00B72D5D">
            <w:pPr>
              <w:rPr>
                <w:rFonts w:ascii="Bradley Hand ITC" w:hAnsi="Bradley Hand ITC"/>
                <w:i/>
              </w:rPr>
            </w:pPr>
            <w:r w:rsidRPr="004B0963">
              <w:rPr>
                <w:rFonts w:ascii="Times New Roman" w:hAnsi="Times New Roman"/>
                <w:i/>
                <w:sz w:val="22"/>
                <w:szCs w:val="22"/>
              </w:rPr>
              <w:t>One hundred years later, the life of the Negro is still sadly crippled by the manacles of segregation and the chains of discrimination.</w:t>
            </w:r>
          </w:p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045CCA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6D2985"/>
          <w:p w:rsidR="0000184A" w:rsidRDefault="0000184A" w:rsidP="006D2985">
            <w:r w:rsidRPr="0000184A">
              <w:rPr>
                <w:sz w:val="22"/>
                <w:szCs w:val="22"/>
              </w:rPr>
              <w:t xml:space="preserve"> </w:t>
            </w:r>
          </w:p>
          <w:p w:rsidR="00B72D5D" w:rsidRPr="0000184A" w:rsidRDefault="00B72D5D" w:rsidP="00B72D5D">
            <w:pPr>
              <w:jc w:val="center"/>
              <w:rPr>
                <w:rFonts w:ascii="Bradley Hand ITC" w:hAnsi="Bradley Hand ITC"/>
              </w:rPr>
            </w:pPr>
            <w:r>
              <w:rPr>
                <w:sz w:val="22"/>
                <w:szCs w:val="22"/>
              </w:rPr>
              <w:t>We Do</w:t>
            </w:r>
          </w:p>
        </w:tc>
        <w:tc>
          <w:tcPr>
            <w:tcW w:w="2969" w:type="dxa"/>
          </w:tcPr>
          <w:p w:rsidR="0000184A" w:rsidRPr="0000184A" w:rsidRDefault="0000184A" w:rsidP="006D2985"/>
          <w:p w:rsidR="0000184A" w:rsidRPr="0000184A" w:rsidRDefault="0000184A" w:rsidP="006D2985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B717C6" w:rsidRDefault="00B717C6" w:rsidP="00B717C6"/>
          <w:p w:rsidR="0000184A" w:rsidRPr="004B0963" w:rsidRDefault="00B717C6" w:rsidP="00B717C6">
            <w:pPr>
              <w:rPr>
                <w:i/>
              </w:rPr>
            </w:pPr>
            <w:r w:rsidRPr="004B0963">
              <w:rPr>
                <w:rFonts w:ascii="Times New Roman" w:hAnsi="Times New Roman"/>
                <w:i/>
                <w:sz w:val="22"/>
                <w:szCs w:val="22"/>
              </w:rPr>
              <w:t>One hundred years later, the Negro lives on a lonely island of poverty in the midst of a vast ocean of material prosperity.</w:t>
            </w:r>
          </w:p>
          <w:p w:rsidR="0000184A" w:rsidRPr="0000184A" w:rsidRDefault="0000184A" w:rsidP="006D2985">
            <w:pPr>
              <w:ind w:left="360"/>
            </w:pPr>
          </w:p>
          <w:p w:rsidR="0000184A" w:rsidRPr="0000184A" w:rsidRDefault="0000184A" w:rsidP="006D2985">
            <w:pPr>
              <w:ind w:left="360"/>
            </w:pPr>
          </w:p>
          <w:p w:rsidR="0000184A" w:rsidRPr="0000184A" w:rsidRDefault="0000184A" w:rsidP="006D2985">
            <w:pPr>
              <w:ind w:left="360"/>
            </w:pPr>
          </w:p>
        </w:tc>
        <w:tc>
          <w:tcPr>
            <w:tcW w:w="2938" w:type="dxa"/>
          </w:tcPr>
          <w:p w:rsidR="0000184A" w:rsidRPr="0000184A" w:rsidRDefault="0000184A" w:rsidP="006D2985">
            <w:pPr>
              <w:ind w:left="360"/>
            </w:pPr>
          </w:p>
        </w:tc>
      </w:tr>
      <w:tr w:rsidR="00045CCA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6D2985"/>
          <w:p w:rsidR="0000184A" w:rsidRDefault="0000184A" w:rsidP="006D2985">
            <w:r w:rsidRPr="0000184A">
              <w:rPr>
                <w:sz w:val="22"/>
                <w:szCs w:val="22"/>
              </w:rPr>
              <w:t xml:space="preserve"> </w:t>
            </w:r>
          </w:p>
          <w:p w:rsidR="00B72D5D" w:rsidRPr="0000184A" w:rsidRDefault="00B72D5D" w:rsidP="00B72D5D">
            <w:pPr>
              <w:jc w:val="center"/>
              <w:rPr>
                <w:rFonts w:ascii="Bradley Hand ITC" w:hAnsi="Bradley Hand ITC"/>
              </w:rPr>
            </w:pPr>
            <w:r>
              <w:rPr>
                <w:sz w:val="22"/>
                <w:szCs w:val="22"/>
              </w:rPr>
              <w:t>We Do</w:t>
            </w:r>
          </w:p>
        </w:tc>
        <w:tc>
          <w:tcPr>
            <w:tcW w:w="2969" w:type="dxa"/>
          </w:tcPr>
          <w:p w:rsidR="0000184A" w:rsidRPr="0000184A" w:rsidRDefault="0000184A" w:rsidP="006D2985"/>
          <w:p w:rsidR="0000184A" w:rsidRPr="0000184A" w:rsidRDefault="0000184A" w:rsidP="006D2985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B717C6" w:rsidRPr="004B0963" w:rsidRDefault="00B717C6" w:rsidP="00B717C6">
            <w:pPr>
              <w:rPr>
                <w:rFonts w:ascii="Bradley Hand ITC" w:hAnsi="Bradley Hand ITC"/>
                <w:i/>
              </w:rPr>
            </w:pPr>
            <w:r w:rsidRPr="004B0963">
              <w:rPr>
                <w:rFonts w:ascii="Times New Roman" w:hAnsi="Times New Roman"/>
                <w:i/>
                <w:sz w:val="22"/>
                <w:szCs w:val="22"/>
              </w:rPr>
              <w:t>It is obvious today that America has defaulted on this promissory note insofar as her citizens of color are concerned. Instead of honoring this sacred obligation, America has given the Negro people a bad check, a check which has come back marked "insufficient funds."</w:t>
            </w:r>
          </w:p>
        </w:tc>
        <w:tc>
          <w:tcPr>
            <w:tcW w:w="2938" w:type="dxa"/>
          </w:tcPr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045CCA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Default="0000184A" w:rsidP="006D2985"/>
          <w:p w:rsidR="00B717C6" w:rsidRDefault="00B717C6" w:rsidP="006D2985"/>
          <w:p w:rsidR="00B717C6" w:rsidRDefault="00B717C6" w:rsidP="006D2985">
            <w:r>
              <w:t>You Do</w:t>
            </w:r>
          </w:p>
          <w:p w:rsidR="006D2985" w:rsidRPr="0000184A" w:rsidRDefault="006D2985" w:rsidP="006D2985">
            <w:r>
              <w:t>(TTT)</w:t>
            </w:r>
          </w:p>
        </w:tc>
        <w:tc>
          <w:tcPr>
            <w:tcW w:w="2969" w:type="dxa"/>
          </w:tcPr>
          <w:p w:rsidR="0000184A" w:rsidRPr="0000184A" w:rsidRDefault="0000184A" w:rsidP="006D2985"/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="0000184A" w:rsidRPr="0000184A">
              <w:rPr>
                <w:sz w:val="20"/>
                <w:szCs w:val="20"/>
              </w:rPr>
              <w:t>t)</w:t>
            </w:r>
          </w:p>
          <w:p w:rsid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B717C6" w:rsidRDefault="00B717C6" w:rsidP="00B717C6">
            <w:pPr>
              <w:rPr>
                <w:rFonts w:ascii="Times New Roman" w:hAnsi="Times New Roman"/>
              </w:rPr>
            </w:pPr>
          </w:p>
          <w:p w:rsidR="0000184A" w:rsidRPr="004B0963" w:rsidRDefault="00B717C6" w:rsidP="00B717C6">
            <w:pPr>
              <w:rPr>
                <w:rFonts w:ascii="Times New Roman" w:hAnsi="Times New Roman"/>
                <w:i/>
              </w:rPr>
            </w:pPr>
            <w:r w:rsidRPr="004B0963">
              <w:rPr>
                <w:rFonts w:ascii="Times New Roman" w:hAnsi="Times New Roman"/>
                <w:i/>
              </w:rPr>
              <w:t>Now is the time to rise from the dark and desolate valley of segregation to the sunlit path of racial justice.</w:t>
            </w:r>
          </w:p>
          <w:p w:rsidR="004B0963" w:rsidRPr="004B0963" w:rsidRDefault="004B0963" w:rsidP="004B0963">
            <w:pPr>
              <w:rPr>
                <w:rFonts w:ascii="Times New Roman" w:hAnsi="Times New Roman"/>
              </w:rPr>
            </w:pPr>
            <w:r w:rsidRPr="004B0963">
              <w:rPr>
                <w:rFonts w:ascii="Times New Roman" w:hAnsi="Times New Roman"/>
              </w:rPr>
              <w:t>How does King’s description, in this line affect his message about working towards racial justice?</w:t>
            </w:r>
          </w:p>
          <w:p w:rsidR="004B0963" w:rsidRPr="00B717C6" w:rsidRDefault="004B0963" w:rsidP="00B717C6">
            <w:pPr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00184A" w:rsidRPr="0000184A" w:rsidRDefault="0000184A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B717C6" w:rsidRPr="0000184A" w:rsidTr="00FD012D">
        <w:trPr>
          <w:trHeight w:val="2293"/>
          <w:jc w:val="center"/>
        </w:trPr>
        <w:tc>
          <w:tcPr>
            <w:tcW w:w="466" w:type="dxa"/>
          </w:tcPr>
          <w:p w:rsidR="00B717C6" w:rsidRDefault="00B717C6" w:rsidP="006D2985"/>
          <w:p w:rsidR="00B717C6" w:rsidRDefault="00B717C6" w:rsidP="006D2985"/>
          <w:p w:rsidR="00B717C6" w:rsidRDefault="00B717C6" w:rsidP="006D2985">
            <w:r>
              <w:t>You Do</w:t>
            </w:r>
          </w:p>
          <w:p w:rsidR="006D2985" w:rsidRDefault="006D2985" w:rsidP="006D2985">
            <w:r>
              <w:t>(TTT)</w:t>
            </w:r>
          </w:p>
        </w:tc>
        <w:tc>
          <w:tcPr>
            <w:tcW w:w="2969" w:type="dxa"/>
          </w:tcPr>
          <w:p w:rsidR="00B717C6" w:rsidRPr="0000184A" w:rsidRDefault="00B717C6" w:rsidP="006D2985"/>
        </w:tc>
        <w:tc>
          <w:tcPr>
            <w:tcW w:w="1582" w:type="dxa"/>
            <w:vAlign w:val="center"/>
          </w:tcPr>
          <w:p w:rsidR="00B717C6" w:rsidRPr="0000184A" w:rsidRDefault="00B717C6" w:rsidP="00B717C6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B717C6" w:rsidRDefault="00B717C6" w:rsidP="00B717C6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Pr="0000184A">
              <w:rPr>
                <w:sz w:val="20"/>
                <w:szCs w:val="20"/>
              </w:rPr>
              <w:t>t)</w:t>
            </w:r>
          </w:p>
          <w:p w:rsidR="00B717C6" w:rsidRDefault="00B717C6" w:rsidP="00B717C6">
            <w:pPr>
              <w:ind w:left="218" w:hanging="270"/>
              <w:rPr>
                <w:sz w:val="20"/>
                <w:szCs w:val="20"/>
              </w:rPr>
            </w:pPr>
          </w:p>
          <w:p w:rsidR="00B717C6" w:rsidRPr="0000184A" w:rsidRDefault="00B717C6" w:rsidP="00B717C6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B717C6" w:rsidRDefault="00B717C6" w:rsidP="00B717C6">
            <w:pPr>
              <w:rPr>
                <w:rFonts w:ascii="Times New Roman" w:hAnsi="Times New Roman"/>
              </w:rPr>
            </w:pPr>
          </w:p>
          <w:p w:rsidR="004B0963" w:rsidRPr="004B0963" w:rsidRDefault="00B717C6" w:rsidP="00B717C6">
            <w:pPr>
              <w:rPr>
                <w:rFonts w:ascii="Times New Roman" w:hAnsi="Times New Roman"/>
                <w:i/>
              </w:rPr>
            </w:pPr>
            <w:r w:rsidRPr="004B0963">
              <w:rPr>
                <w:rFonts w:ascii="Times New Roman" w:hAnsi="Times New Roman"/>
                <w:i/>
              </w:rPr>
              <w:t>Now is the time to lift our nation from the quick sands of racial injustice to the solid rock of brotherhood.</w:t>
            </w:r>
            <w:r w:rsidR="004B0963" w:rsidRPr="004B0963">
              <w:rPr>
                <w:rFonts w:ascii="Times New Roman" w:hAnsi="Times New Roman"/>
                <w:i/>
              </w:rPr>
              <w:t xml:space="preserve"> </w:t>
            </w:r>
          </w:p>
          <w:p w:rsidR="00B717C6" w:rsidRPr="00B717C6" w:rsidRDefault="004B0963" w:rsidP="00B717C6">
            <w:pPr>
              <w:rPr>
                <w:rFonts w:ascii="Bradley Hand ITC" w:hAnsi="Bradley Hand ITC"/>
              </w:rPr>
            </w:pPr>
            <w:r>
              <w:rPr>
                <w:rFonts w:ascii="Times New Roman" w:hAnsi="Times New Roman"/>
              </w:rPr>
              <w:t>What does King suggest when he says this line?</w:t>
            </w:r>
          </w:p>
        </w:tc>
        <w:tc>
          <w:tcPr>
            <w:tcW w:w="2938" w:type="dxa"/>
          </w:tcPr>
          <w:p w:rsidR="00B717C6" w:rsidRPr="0000184A" w:rsidRDefault="00B717C6" w:rsidP="006D2985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</w:tbl>
    <w:p w:rsidR="0000184A" w:rsidRPr="0000184A" w:rsidRDefault="0000184A" w:rsidP="00FD012D">
      <w:pPr>
        <w:rPr>
          <w:sz w:val="22"/>
          <w:szCs w:val="22"/>
        </w:rPr>
      </w:pPr>
      <w:bookmarkStart w:id="0" w:name="_GoBack"/>
      <w:bookmarkEnd w:id="0"/>
    </w:p>
    <w:sectPr w:rsidR="0000184A" w:rsidRPr="0000184A" w:rsidSect="00FD012D">
      <w:footerReference w:type="default" r:id="rId8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85" w:rsidRDefault="006D2985" w:rsidP="0090695E">
      <w:r>
        <w:separator/>
      </w:r>
    </w:p>
  </w:endnote>
  <w:endnote w:type="continuationSeparator" w:id="0">
    <w:p w:rsidR="006D2985" w:rsidRDefault="006D2985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5" w:rsidRPr="00FD012D" w:rsidRDefault="006D2985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6D2985" w:rsidRDefault="006D2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85" w:rsidRDefault="006D2985" w:rsidP="0090695E">
      <w:r>
        <w:separator/>
      </w:r>
    </w:p>
  </w:footnote>
  <w:footnote w:type="continuationSeparator" w:id="0">
    <w:p w:rsidR="006D2985" w:rsidRDefault="006D2985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25113"/>
    <w:rsid w:val="00045CCA"/>
    <w:rsid w:val="001602B0"/>
    <w:rsid w:val="001B335B"/>
    <w:rsid w:val="002233EE"/>
    <w:rsid w:val="002A3ED0"/>
    <w:rsid w:val="004B0963"/>
    <w:rsid w:val="004D2198"/>
    <w:rsid w:val="006975F4"/>
    <w:rsid w:val="006A0881"/>
    <w:rsid w:val="006D2985"/>
    <w:rsid w:val="00806428"/>
    <w:rsid w:val="008227F2"/>
    <w:rsid w:val="0090695E"/>
    <w:rsid w:val="0098715B"/>
    <w:rsid w:val="009E6A40"/>
    <w:rsid w:val="00AC1617"/>
    <w:rsid w:val="00B717C6"/>
    <w:rsid w:val="00B72D5D"/>
    <w:rsid w:val="00D21962"/>
    <w:rsid w:val="00E05A8A"/>
    <w:rsid w:val="00E1407F"/>
    <w:rsid w:val="00E800B4"/>
    <w:rsid w:val="00EC4511"/>
    <w:rsid w:val="00F417B5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Oliveira Middle School</cp:lastModifiedBy>
  <cp:revision>6</cp:revision>
  <cp:lastPrinted>2013-05-08T14:28:00Z</cp:lastPrinted>
  <dcterms:created xsi:type="dcterms:W3CDTF">2013-11-20T00:54:00Z</dcterms:created>
  <dcterms:modified xsi:type="dcterms:W3CDTF">2013-11-20T15:58:00Z</dcterms:modified>
</cp:coreProperties>
</file>